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32977" w14:textId="77777777" w:rsidR="00A940B8" w:rsidRPr="00A940B8" w:rsidRDefault="00A940B8" w:rsidP="00A940B8">
      <w:pPr>
        <w:jc w:val="center"/>
        <w:rPr>
          <w:lang w:val="bg-BG"/>
        </w:rPr>
      </w:pPr>
    </w:p>
    <w:p w14:paraId="659A798B" w14:textId="77777777" w:rsidR="00B45BDD" w:rsidRPr="006D1F73" w:rsidRDefault="005F44E0" w:rsidP="00A940B8">
      <w:pPr>
        <w:jc w:val="center"/>
        <w:rPr>
          <w:b/>
          <w:lang w:val="bg-BG"/>
        </w:rPr>
      </w:pPr>
      <w:r w:rsidRPr="006D1F73">
        <w:rPr>
          <w:b/>
          <w:lang w:val="bg-BG"/>
        </w:rPr>
        <w:t>СПИСЪК НА ПРЕДЛОЖЕНИЯ</w:t>
      </w:r>
      <w:r w:rsidR="00DE7B09">
        <w:rPr>
          <w:b/>
          <w:lang w:val="bg-BG"/>
        </w:rPr>
        <w:t>ТА ЗА ИЗПЪЛ</w:t>
      </w:r>
      <w:r w:rsidR="002E29C1">
        <w:rPr>
          <w:b/>
          <w:lang w:val="bg-BG"/>
        </w:rPr>
        <w:t>Н</w:t>
      </w:r>
      <w:r w:rsidR="00DE7B09">
        <w:rPr>
          <w:b/>
          <w:lang w:val="bg-BG"/>
        </w:rPr>
        <w:t>ЕНИЕ НА ИНВЕСТИЦИИ</w:t>
      </w:r>
      <w:r w:rsidRPr="006D1F73">
        <w:rPr>
          <w:b/>
          <w:lang w:val="bg-BG"/>
        </w:rPr>
        <w:t>, КОИТО НЕ СЕ ДОПУСКАТ ДО ТЕХНИЧЕСКА И ФИНАНСОВА ОЦЕНКА</w:t>
      </w:r>
      <w:r w:rsidR="00B45BDD" w:rsidRPr="006D1F73">
        <w:rPr>
          <w:b/>
          <w:lang w:val="bg-BG"/>
        </w:rPr>
        <w:t xml:space="preserve"> </w:t>
      </w:r>
      <w:r w:rsidR="00A940B8" w:rsidRPr="006D1F73">
        <w:rPr>
          <w:b/>
          <w:lang w:val="bg-BG"/>
        </w:rPr>
        <w:t xml:space="preserve">ПО ПРОЦЕДУРА ЗА </w:t>
      </w:r>
    </w:p>
    <w:p w14:paraId="7235B5FE" w14:textId="3E7894B0" w:rsidR="00A940B8" w:rsidRPr="006D1F73" w:rsidRDefault="00A940B8" w:rsidP="00A940B8">
      <w:pPr>
        <w:jc w:val="center"/>
        <w:rPr>
          <w:b/>
          <w:lang w:val="bg-BG"/>
        </w:rPr>
      </w:pPr>
      <w:r w:rsidRPr="006D1F73">
        <w:rPr>
          <w:b/>
          <w:lang w:val="bg-BG"/>
        </w:rPr>
        <w:t xml:space="preserve">ПРЕДОСТАВЯНЕ НА </w:t>
      </w:r>
      <w:r w:rsidR="00DE7B09" w:rsidRPr="00DE7B09">
        <w:rPr>
          <w:b/>
          <w:lang w:val="bg-BG"/>
        </w:rPr>
        <w:t>СРЕДСТВА НА КРАЙНИ ПОЛУЧАТЕЛИ ОТ МЕХАНИЗМА ЗА ВЪЗСТАНОВЯВАНЕ И УСТОЙЧИВОСТ</w:t>
      </w:r>
      <w:r w:rsidR="00DE7B09" w:rsidRPr="00DE7B09" w:rsidDel="00DE7B09">
        <w:rPr>
          <w:b/>
          <w:lang w:val="bg-BG"/>
        </w:rPr>
        <w:t xml:space="preserve"> </w:t>
      </w:r>
      <w:r w:rsidRPr="006D1F73">
        <w:rPr>
          <w:b/>
          <w:lang w:val="bg-BG"/>
        </w:rPr>
        <w:t xml:space="preserve">№ </w:t>
      </w:r>
      <w:r w:rsidR="005A1DEE" w:rsidRPr="005A1DEE">
        <w:rPr>
          <w:b/>
          <w:lang w:val="bg-BG"/>
        </w:rPr>
        <w:t xml:space="preserve">BG-RRP-11.019 - „Схема за безвъзмездна помощ с две сесии „Български продукции от сектора на КТИ в платформите на отворените пазари за изкуства в ЕС“ </w:t>
      </w:r>
      <w:r w:rsidR="00313C43">
        <w:rPr>
          <w:b/>
          <w:lang w:val="bg-BG"/>
        </w:rPr>
        <w:t>– п</w:t>
      </w:r>
      <w:r w:rsidR="00313C43" w:rsidRPr="00313C43">
        <w:rPr>
          <w:b/>
          <w:lang w:val="bg-BG"/>
        </w:rPr>
        <w:t>ърва сесия за кандидатстване с краен срок 30.09.2024 г</w:t>
      </w:r>
      <w:r w:rsidR="005A1DEE" w:rsidRPr="005A1DEE">
        <w:rPr>
          <w:b/>
          <w:lang w:val="bg-BG"/>
        </w:rPr>
        <w:t xml:space="preserve">                                                      </w:t>
      </w:r>
    </w:p>
    <w:p w14:paraId="1193C2B8" w14:textId="77777777" w:rsidR="00886106" w:rsidRPr="006D1F73" w:rsidRDefault="00886106" w:rsidP="00A940B8">
      <w:pPr>
        <w:jc w:val="center"/>
        <w:rPr>
          <w:b/>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1596"/>
        <w:gridCol w:w="2512"/>
        <w:gridCol w:w="2835"/>
        <w:gridCol w:w="7089"/>
      </w:tblGrid>
      <w:tr w:rsidR="00091A0B" w:rsidRPr="009A53BA" w14:paraId="35997BA3" w14:textId="77777777" w:rsidTr="00313C43">
        <w:tc>
          <w:tcPr>
            <w:tcW w:w="678" w:type="dxa"/>
            <w:shd w:val="clear" w:color="auto" w:fill="auto"/>
          </w:tcPr>
          <w:p w14:paraId="6CA1C09E" w14:textId="77777777" w:rsidR="00091A0B" w:rsidRPr="006D1F73" w:rsidRDefault="00091A0B" w:rsidP="00E76FC7">
            <w:pPr>
              <w:jc w:val="center"/>
              <w:rPr>
                <w:b/>
                <w:sz w:val="20"/>
                <w:szCs w:val="20"/>
                <w:lang w:val="bg-BG"/>
              </w:rPr>
            </w:pPr>
            <w:r w:rsidRPr="006D1F73">
              <w:rPr>
                <w:b/>
                <w:sz w:val="20"/>
                <w:szCs w:val="20"/>
                <w:lang w:val="bg-BG"/>
              </w:rPr>
              <w:t>№</w:t>
            </w:r>
          </w:p>
        </w:tc>
        <w:tc>
          <w:tcPr>
            <w:tcW w:w="1596" w:type="dxa"/>
            <w:shd w:val="clear" w:color="auto" w:fill="auto"/>
          </w:tcPr>
          <w:p w14:paraId="14675AF2" w14:textId="77777777" w:rsidR="00091A0B" w:rsidRPr="006D1F73" w:rsidRDefault="004A41E4" w:rsidP="004A41E4">
            <w:pPr>
              <w:jc w:val="center"/>
              <w:rPr>
                <w:b/>
                <w:sz w:val="20"/>
                <w:szCs w:val="20"/>
                <w:lang w:val="bg-BG"/>
              </w:rPr>
            </w:pPr>
            <w:r w:rsidRPr="006D1F73">
              <w:rPr>
                <w:b/>
                <w:sz w:val="20"/>
                <w:szCs w:val="20"/>
                <w:lang w:val="bg-BG"/>
              </w:rPr>
              <w:t xml:space="preserve">Рег. № на </w:t>
            </w:r>
            <w:r w:rsidR="00091A0B" w:rsidRPr="006D1F73">
              <w:rPr>
                <w:b/>
                <w:sz w:val="20"/>
                <w:szCs w:val="20"/>
                <w:lang w:val="bg-BG"/>
              </w:rPr>
              <w:t>предложение</w:t>
            </w:r>
            <w:r w:rsidR="00DE7B09">
              <w:rPr>
                <w:b/>
                <w:sz w:val="20"/>
                <w:szCs w:val="20"/>
                <w:lang w:val="bg-BG"/>
              </w:rPr>
              <w:t>то за изпълнение на инвестиция</w:t>
            </w:r>
            <w:r w:rsidR="00091A0B" w:rsidRPr="006D1F73">
              <w:rPr>
                <w:b/>
                <w:sz w:val="20"/>
                <w:szCs w:val="20"/>
                <w:lang w:val="bg-BG"/>
              </w:rPr>
              <w:t xml:space="preserve"> </w:t>
            </w:r>
          </w:p>
        </w:tc>
        <w:tc>
          <w:tcPr>
            <w:tcW w:w="2512" w:type="dxa"/>
            <w:shd w:val="clear" w:color="auto" w:fill="auto"/>
          </w:tcPr>
          <w:p w14:paraId="5C18BEF8" w14:textId="77777777" w:rsidR="00293424" w:rsidRDefault="00992D76" w:rsidP="00E76FC7">
            <w:pPr>
              <w:jc w:val="center"/>
              <w:rPr>
                <w:b/>
                <w:sz w:val="20"/>
                <w:szCs w:val="20"/>
                <w:lang w:val="bg-BG"/>
              </w:rPr>
            </w:pPr>
            <w:r w:rsidRPr="006D1F73">
              <w:rPr>
                <w:b/>
                <w:sz w:val="20"/>
                <w:szCs w:val="20"/>
                <w:lang w:val="bg-BG"/>
              </w:rPr>
              <w:t>Наименование на кандидата</w:t>
            </w:r>
          </w:p>
          <w:p w14:paraId="3C630DC1" w14:textId="77777777" w:rsidR="00091A0B" w:rsidRPr="00293424" w:rsidRDefault="00293424" w:rsidP="00293424">
            <w:pPr>
              <w:tabs>
                <w:tab w:val="left" w:pos="2190"/>
              </w:tabs>
              <w:rPr>
                <w:sz w:val="20"/>
                <w:szCs w:val="20"/>
                <w:lang w:val="bg-BG"/>
              </w:rPr>
            </w:pPr>
            <w:r>
              <w:rPr>
                <w:sz w:val="20"/>
                <w:szCs w:val="20"/>
                <w:lang w:val="bg-BG"/>
              </w:rPr>
              <w:tab/>
            </w:r>
          </w:p>
        </w:tc>
        <w:tc>
          <w:tcPr>
            <w:tcW w:w="2835" w:type="dxa"/>
            <w:shd w:val="clear" w:color="auto" w:fill="auto"/>
          </w:tcPr>
          <w:p w14:paraId="3F1380E7" w14:textId="77777777" w:rsidR="00091A0B" w:rsidRPr="006D1F73" w:rsidRDefault="00992D76" w:rsidP="00E76FC7">
            <w:pPr>
              <w:jc w:val="center"/>
              <w:rPr>
                <w:b/>
                <w:sz w:val="20"/>
                <w:szCs w:val="20"/>
                <w:lang w:val="bg-BG"/>
              </w:rPr>
            </w:pPr>
            <w:r w:rsidRPr="006D1F73">
              <w:rPr>
                <w:b/>
                <w:sz w:val="20"/>
                <w:szCs w:val="20"/>
                <w:lang w:val="bg-BG"/>
              </w:rPr>
              <w:t xml:space="preserve">Наименование на </w:t>
            </w:r>
            <w:r w:rsidR="00DE7B09" w:rsidRPr="006D1F73">
              <w:rPr>
                <w:b/>
                <w:sz w:val="20"/>
                <w:szCs w:val="20"/>
                <w:lang w:val="bg-BG"/>
              </w:rPr>
              <w:t>предложение</w:t>
            </w:r>
            <w:r w:rsidR="00DE7B09">
              <w:rPr>
                <w:b/>
                <w:sz w:val="20"/>
                <w:szCs w:val="20"/>
                <w:lang w:val="bg-BG"/>
              </w:rPr>
              <w:t>то за изпълнение на инвестиция</w:t>
            </w:r>
          </w:p>
        </w:tc>
        <w:tc>
          <w:tcPr>
            <w:tcW w:w="7089" w:type="dxa"/>
            <w:shd w:val="clear" w:color="auto" w:fill="auto"/>
          </w:tcPr>
          <w:p w14:paraId="6A44E4F3" w14:textId="77777777" w:rsidR="00091A0B" w:rsidRPr="006D1F73" w:rsidRDefault="002D157D" w:rsidP="00E76FC7">
            <w:pPr>
              <w:jc w:val="center"/>
              <w:rPr>
                <w:b/>
                <w:sz w:val="20"/>
                <w:szCs w:val="20"/>
                <w:lang w:val="bg-BG"/>
              </w:rPr>
            </w:pPr>
            <w:r w:rsidRPr="006D1F73">
              <w:rPr>
                <w:b/>
                <w:sz w:val="20"/>
                <w:szCs w:val="20"/>
                <w:lang w:val="bg-BG"/>
              </w:rPr>
              <w:t xml:space="preserve">Основание за </w:t>
            </w:r>
            <w:r w:rsidR="000868A0">
              <w:rPr>
                <w:b/>
                <w:sz w:val="20"/>
                <w:szCs w:val="20"/>
                <w:lang w:val="bg-BG"/>
              </w:rPr>
              <w:t>недопускане</w:t>
            </w:r>
          </w:p>
          <w:p w14:paraId="70101F9B" w14:textId="77777777" w:rsidR="00331586" w:rsidRPr="006D1F73" w:rsidRDefault="00331586" w:rsidP="00E76FC7">
            <w:pPr>
              <w:jc w:val="center"/>
              <w:rPr>
                <w:b/>
                <w:sz w:val="20"/>
                <w:szCs w:val="20"/>
                <w:lang w:val="bg-BG"/>
              </w:rPr>
            </w:pPr>
            <w:r w:rsidRPr="006D1F73">
              <w:rPr>
                <w:b/>
                <w:sz w:val="20"/>
                <w:szCs w:val="20"/>
                <w:lang w:val="bg-BG"/>
              </w:rPr>
              <w:t xml:space="preserve">(посочват се конкретните основания, а не само препратки към документите и условията, които не са изпълнени) </w:t>
            </w:r>
          </w:p>
        </w:tc>
      </w:tr>
      <w:tr w:rsidR="00091A0B" w:rsidRPr="006D1F73" w14:paraId="64CD35FC" w14:textId="77777777" w:rsidTr="00313C43">
        <w:tc>
          <w:tcPr>
            <w:tcW w:w="678" w:type="dxa"/>
            <w:shd w:val="clear" w:color="auto" w:fill="auto"/>
          </w:tcPr>
          <w:p w14:paraId="7B648361" w14:textId="7F938DF3" w:rsidR="00091A0B" w:rsidRPr="006D1F73" w:rsidRDefault="005A1DEE" w:rsidP="00E76FC7">
            <w:pPr>
              <w:jc w:val="center"/>
              <w:rPr>
                <w:b/>
                <w:lang w:val="bg-BG"/>
              </w:rPr>
            </w:pPr>
            <w:r>
              <w:rPr>
                <w:b/>
                <w:lang w:val="bg-BG"/>
              </w:rPr>
              <w:t>1</w:t>
            </w:r>
            <w:r w:rsidR="0028464A" w:rsidRPr="006D1F73">
              <w:rPr>
                <w:b/>
                <w:lang w:val="bg-BG"/>
              </w:rPr>
              <w:t>.</w:t>
            </w:r>
          </w:p>
        </w:tc>
        <w:tc>
          <w:tcPr>
            <w:tcW w:w="1596" w:type="dxa"/>
            <w:shd w:val="clear" w:color="auto" w:fill="auto"/>
          </w:tcPr>
          <w:p w14:paraId="5A1124B6" w14:textId="2E23A9E0" w:rsidR="00091A0B" w:rsidRPr="006D1F73" w:rsidRDefault="005A1DEE" w:rsidP="00E76FC7">
            <w:pPr>
              <w:jc w:val="center"/>
              <w:rPr>
                <w:b/>
                <w:lang w:val="bg-BG"/>
              </w:rPr>
            </w:pPr>
            <w:r w:rsidRPr="005A1DEE">
              <w:rPr>
                <w:b/>
                <w:lang w:val="bg-BG"/>
              </w:rPr>
              <w:t>BG-RRP-11.019-0002</w:t>
            </w:r>
          </w:p>
        </w:tc>
        <w:tc>
          <w:tcPr>
            <w:tcW w:w="2512" w:type="dxa"/>
            <w:shd w:val="clear" w:color="auto" w:fill="auto"/>
          </w:tcPr>
          <w:p w14:paraId="5EBA3959" w14:textId="6DE22804" w:rsidR="00091A0B" w:rsidRPr="006D1F73" w:rsidRDefault="005A1DEE" w:rsidP="00E76FC7">
            <w:pPr>
              <w:jc w:val="center"/>
              <w:rPr>
                <w:b/>
                <w:lang w:val="bg-BG"/>
              </w:rPr>
            </w:pPr>
            <w:r w:rsidRPr="005A1DEE">
              <w:rPr>
                <w:b/>
                <w:lang w:val="bg-BG"/>
              </w:rPr>
              <w:t>ИМА НАДЕЖДА ЗА ВСИЧКИ</w:t>
            </w:r>
          </w:p>
        </w:tc>
        <w:tc>
          <w:tcPr>
            <w:tcW w:w="2835" w:type="dxa"/>
            <w:shd w:val="clear" w:color="auto" w:fill="auto"/>
          </w:tcPr>
          <w:p w14:paraId="2937065E" w14:textId="4F3C751E" w:rsidR="00091A0B" w:rsidRPr="006D1F73" w:rsidRDefault="005A1DEE" w:rsidP="00E76FC7">
            <w:pPr>
              <w:jc w:val="center"/>
              <w:rPr>
                <w:b/>
                <w:lang w:val="bg-BG"/>
              </w:rPr>
            </w:pPr>
            <w:r w:rsidRPr="005A1DEE">
              <w:rPr>
                <w:b/>
                <w:lang w:val="bg-BG"/>
              </w:rPr>
              <w:t>Кавадар- еркечка етно палитра</w:t>
            </w:r>
          </w:p>
        </w:tc>
        <w:tc>
          <w:tcPr>
            <w:tcW w:w="7089" w:type="dxa"/>
            <w:shd w:val="clear" w:color="auto" w:fill="auto"/>
          </w:tcPr>
          <w:p w14:paraId="65E777D8" w14:textId="77777777" w:rsidR="00313C43" w:rsidRPr="00313C43" w:rsidRDefault="00313C43" w:rsidP="00313C43">
            <w:pPr>
              <w:rPr>
                <w:b/>
                <w:lang w:val="bg-BG"/>
              </w:rPr>
            </w:pPr>
            <w:r w:rsidRPr="00313C43">
              <w:rPr>
                <w:b/>
                <w:lang w:val="bg-BG"/>
              </w:rPr>
              <w:t xml:space="preserve">ПИИ е за създаване на три културни продукта, като създаването е недопустима дейност по процедура BG-RRP-11.019, която е с предвидена друга цел- представяне на завършени български продукции (или европейски копродукции с българско участие) в областта на изкуство в платформите на отворените пазари за изкуства в ЕС, на международни форуми, чуждестранни сцени, фестивали и събития, и насърчаване на международното разпространение на български художествени произведения и културни продукти. В този смисъл ПИИ BG-RRP-11.019-002 изначално не отговаря на целите на BG-RRP-11.019. Отделно от това не са отстранени в срока за отговор 20.12.2024 г. констатирани нередовности, за които сте уведомени с въпрос от 11.12.2024г., както следва: Декларация при кандидатстване е означена като Приложение 3, а не като Приложение 2 и не се разчита валиден КЕП; Декларация за минимални помощи (Приложение № 4) не подписана с валиден КЕП и липсва Приложение № 4.1 - държавни помощи; Липсва ГФО за последните 3 (три) приключени финансови години; на Справка-декларация за всички проекти с публично финансиране, по които кандидатът работи (Приложение № 5) не се разчита валиден КЕП; Списък на лицата, свързани с представянето и/или адаптирането на културния продукт на отворен пазар (Приложение № 6) липсва валиден подпис на </w:t>
            </w:r>
            <w:r w:rsidRPr="00313C43">
              <w:rPr>
                <w:b/>
                <w:lang w:val="bg-BG"/>
              </w:rPr>
              <w:lastRenderedPageBreak/>
              <w:t>законен представител и е налице несъответствие между посочените лица в ПИИ и списъка; Част от декларациите за поемане на ангажимент (Приложение № 7) са от април 2024 г. и неподписани; Част от представените документи, доказващи направените пазарни проучвания, в т.ч. получени реални оферти и/или други документи с доказателствена стойност, въз основа на които е направен бюджетът в ПИИ, не могат да се отнесат с точност и сигурност към заложените разходи в бюджета като в част от тях има липсващи задължителни реквизити, както и не са валидни тези от март и април 2024 г.; В т. 12, подточка - "Подробна информация за събитието и организацията домакин" не е представена информация; В дейност 9 и 10 не е посочено по какъв начин предвидените събития отговарят на условията на кандидатстване и предвидените дейности в тях; Не е ясно по какъв начин подаденото предложение включва изпълнение на т. 3 „Дейности по публично представяне на произведение от сектора на КТИ пред чуждестранна публика, както и по какъв начин заложените дейности водят до постигане на целта на процедурата; От подадената информация не може да се направи преценка дали и до колко предложението му за изпълнение на инвестицията е в съответствие с принципа за „ненанасяне на значителни вреди“.</w:t>
            </w:r>
          </w:p>
          <w:p w14:paraId="38B8AF92" w14:textId="7BED8BA8" w:rsidR="00313C43" w:rsidRPr="006D1F73" w:rsidRDefault="00313C43" w:rsidP="00313C43">
            <w:pPr>
              <w:rPr>
                <w:b/>
                <w:lang w:val="bg-BG"/>
              </w:rPr>
            </w:pPr>
            <w:r w:rsidRPr="00313C43">
              <w:rPr>
                <w:b/>
                <w:lang w:val="bg-BG"/>
              </w:rPr>
              <w:t>Кандидатът не отговаря на условията за административна допустимост. ПИИ не отговаря на критерии за оценка на административното съответствие на предложенията за изпълнение на инвестиция- по Критерии 3, 5, 6, 9, 10, 11, 12, 17, 18 от група I, Критерии 3 и 5 от група IVот Приложение № 9 Критерии и методика за оценка на ПИИ към Условията за кандидатстване, поради което ПИИ не се допуска до етап ТФО.</w:t>
            </w:r>
          </w:p>
          <w:p w14:paraId="3EFC015E" w14:textId="6EE394B4" w:rsidR="00091A0B" w:rsidRPr="006D1F73" w:rsidRDefault="00091A0B" w:rsidP="00130EBA">
            <w:pPr>
              <w:rPr>
                <w:b/>
                <w:lang w:val="bg-BG"/>
              </w:rPr>
            </w:pPr>
          </w:p>
        </w:tc>
      </w:tr>
      <w:tr w:rsidR="00091A0B" w:rsidRPr="006D1F73" w14:paraId="53FBAD89" w14:textId="77777777" w:rsidTr="00313C43">
        <w:tc>
          <w:tcPr>
            <w:tcW w:w="678" w:type="dxa"/>
            <w:shd w:val="clear" w:color="auto" w:fill="auto"/>
          </w:tcPr>
          <w:p w14:paraId="2F9CDF49" w14:textId="506DF799" w:rsidR="00091A0B" w:rsidRPr="006D1F73" w:rsidRDefault="00E051AE" w:rsidP="00E76FC7">
            <w:pPr>
              <w:jc w:val="center"/>
              <w:rPr>
                <w:b/>
                <w:lang w:val="bg-BG"/>
              </w:rPr>
            </w:pPr>
            <w:r>
              <w:rPr>
                <w:b/>
                <w:lang w:val="bg-BG"/>
              </w:rPr>
              <w:lastRenderedPageBreak/>
              <w:t>2</w:t>
            </w:r>
            <w:r w:rsidR="00992D76" w:rsidRPr="006D1F73">
              <w:rPr>
                <w:b/>
                <w:lang w:val="bg-BG"/>
              </w:rPr>
              <w:t>.</w:t>
            </w:r>
          </w:p>
        </w:tc>
        <w:tc>
          <w:tcPr>
            <w:tcW w:w="1596" w:type="dxa"/>
            <w:shd w:val="clear" w:color="auto" w:fill="auto"/>
          </w:tcPr>
          <w:p w14:paraId="302ECC16" w14:textId="330E02AA" w:rsidR="00091A0B" w:rsidRPr="006D1F73" w:rsidRDefault="00537250" w:rsidP="00E76FC7">
            <w:pPr>
              <w:jc w:val="center"/>
              <w:rPr>
                <w:b/>
                <w:lang w:val="bg-BG"/>
              </w:rPr>
            </w:pPr>
            <w:r w:rsidRPr="00537250">
              <w:rPr>
                <w:b/>
                <w:lang w:val="bg-BG"/>
              </w:rPr>
              <w:t>BG-RRP-11.019-004</w:t>
            </w:r>
          </w:p>
        </w:tc>
        <w:tc>
          <w:tcPr>
            <w:tcW w:w="2512" w:type="dxa"/>
            <w:shd w:val="clear" w:color="auto" w:fill="auto"/>
          </w:tcPr>
          <w:p w14:paraId="0E58364C" w14:textId="6F177051" w:rsidR="00091A0B" w:rsidRPr="006D1F73" w:rsidRDefault="00537250" w:rsidP="00E76FC7">
            <w:pPr>
              <w:jc w:val="center"/>
              <w:rPr>
                <w:b/>
                <w:lang w:val="bg-BG"/>
              </w:rPr>
            </w:pPr>
            <w:r w:rsidRPr="00537250">
              <w:rPr>
                <w:b/>
                <w:lang w:val="bg-BG"/>
              </w:rPr>
              <w:t>7арт АД</w:t>
            </w:r>
          </w:p>
        </w:tc>
        <w:tc>
          <w:tcPr>
            <w:tcW w:w="2835" w:type="dxa"/>
            <w:shd w:val="clear" w:color="auto" w:fill="auto"/>
          </w:tcPr>
          <w:p w14:paraId="6927ADF7" w14:textId="6A5139FF" w:rsidR="00091A0B" w:rsidRPr="006D1F73" w:rsidRDefault="00537250" w:rsidP="00E76FC7">
            <w:pPr>
              <w:jc w:val="center"/>
              <w:rPr>
                <w:b/>
                <w:lang w:val="bg-BG"/>
              </w:rPr>
            </w:pPr>
            <w:r w:rsidRPr="00537250">
              <w:rPr>
                <w:b/>
                <w:lang w:val="bg-BG"/>
              </w:rPr>
              <w:t>Популяризиране на водещи български продукции от сектора на КТИ, представени в дигиталната културна платформа 7Arts, в събития и специализирани уеб-сайтове на отворените пазари за изкуства в ЕС</w:t>
            </w:r>
          </w:p>
        </w:tc>
        <w:tc>
          <w:tcPr>
            <w:tcW w:w="7089" w:type="dxa"/>
            <w:shd w:val="clear" w:color="auto" w:fill="auto"/>
          </w:tcPr>
          <w:p w14:paraId="01489579" w14:textId="77777777" w:rsidR="0090536C" w:rsidRPr="0090536C" w:rsidRDefault="0090536C" w:rsidP="0090536C">
            <w:pPr>
              <w:rPr>
                <w:b/>
                <w:lang w:val="bg-BG"/>
              </w:rPr>
            </w:pPr>
            <w:r w:rsidRPr="0090536C">
              <w:rPr>
                <w:b/>
                <w:lang w:val="bg-BG"/>
              </w:rPr>
              <w:t>Не са отстранени в срока за отговор 28.01.2025 г. констатирани нередовности, за които кандидатът повторно е уведомен с втора комуникация от 21.01.2025г., както следва: 1.След първа комуникация, Кандидатът е представил оферти за част от бюджетните разходи с изискваните реквизити от УК, а друга част са екранни снимки, които са представени, по начин от който не се вижда интернет адреса, от който са направени и не става ясно към кои бюджетни редове се отнасят. Не е представена подробна таблица във формат "Excel", с описани всички заявени разходи по всеки бюджетен ред. Има разминавания между част от представените екранни снимки и бюджета на ПИИ, като липсата на изисканата таблица в Ексел не позволява да се свърже конкретен разход от бюджета с представените материали от ценовото проучване. За заложените разходи, за които са приложени оферти, които не отговарят на изискванията или липсват такива, не са предоставени коректни оферти. Не са представени оферти с оглед обосновка на стойността на разхода за "Разходи за персонал" от категория Преки разходи от УК по ПИИ. 2. От даден отговор "Списъкът със заглавия е внимателно подбран и включва български и европейски културни и творчески произведения, с висока художествена стойност и потенциал за международна аудитория.", не става ясно "европейските" произведения копродукции с българско участие ли са? Представен е документ, в който е списъкът за субтритиране. Много от заглавията не могат да бъдат открити на платформата 7arts.bg, а относно авторските права е посочено, че представеното съдържание на платформата "7arts.bg, е осигурено чрез авторски договори и правни споразумения", от което не може да се направи преценка дали за липсващите заглавия авторските права са уредени. Кандидатът посочва, че представя "доказателства и допълнителни документи за разходите, за които няма наличен пазар", но не е конкретизирал кои документи счита, че се отнасят към зададения въпрос на комисията.  Кандидатът не е представил нови разяснения и необходимите документи с информация и доказателства по какъв начин са уредени авторските права във връзка със спазване изискванията на УК и ЗАПСП.   3. Не са представени писмо за потвърждение и/или официална кореспонденция с идентифицирани форуми, фестивали, отворени пазари и т.н., както и необходимата информация за остойностяване на разходите в раздел 7 Бюджет, във връзка със заложените Такси за участие.  4. Кандидатът потвърждава намерението си да извършва дейности от ПИИ с териториален обхват извън територията на държави-членки на Европейския съюз, без територията на Република България, което е недопустимо по процедурата.  5. Съгласно УК - „Културен продукт“ е крайният резултат от дейности, основаващи се на културни ценности и/или художествени и творчески форми на изразяване, притежаващ специфично качество, употреба или цел, и който въплъщава или предава определена форма на културно изразяване. Кандидатът в отговор на поставения въпрос заявява, че "Платформата 7arts.bg е създадена и функционира като инструмент за разпространение и промоция на културни и творчески продукти", което не отговаря на дефиницията на "културен продукт" от УК.</w:t>
            </w:r>
          </w:p>
          <w:p w14:paraId="589AE62C" w14:textId="77777777" w:rsidR="0090536C" w:rsidRPr="0090536C" w:rsidRDefault="0090536C" w:rsidP="0090536C">
            <w:pPr>
              <w:rPr>
                <w:b/>
                <w:lang w:val="bg-BG"/>
              </w:rPr>
            </w:pPr>
            <w:r w:rsidRPr="0090536C">
              <w:rPr>
                <w:b/>
                <w:lang w:val="bg-BG"/>
              </w:rPr>
              <w:t>От даденото разяснение на кандидата не може да се приеме, че платформата 7arts.bg е културен продукт и не е платформа за "видео при поискване" (VOD), тъй като технологията, а не съдържанието е водещо при определянето ѝ като такава.  6. С първа комуникация, Кандидатът Декларира, че няма задължения към НАП, което е направил и при кандидатстване с ПИИ - попълнена и приложена е Декларация Приложение № 2, попълнена е и във Формуляр за кандидатстване, секция 14, в която декларира, следното: "Представляваният от мен кандидат няма публични задължения по чл. 162, ал. 2, т. 1 (за данъци, акцизи, мита, задължителни осигурителни вноски и други вноски за бюджета) и т. 7 (по влезли в сила наказателни постановления) от Данъчно-осигурителния процесуален кодекс, и лихвите по тях, към държавата или към общината по седалището на НФК и на кандидата, или аналогични задължения съгласно законодателството на държавата, в която кандидатът е установен, доказани с влязъл в сила акт на компетентен орган, и не е допуснато разсрочване, отсрочване и обезпечение на задълженията, или размерът на неплатените дължими данъци или социалноосигурителни вноски е до 1 на сто от сумата на годишния общ оборот от икономическата му дейност за последната приключена финансова година, но не повече от 50 000 лева." В "Справка за наличие/липса на задължения (НАП) на кандидата", предоставена служебно от Мониторстат е видно, че към 20.09.2024г., Кандидатът 7арт АД с ЕИК: 207646011 има задължения, но същият не е предоставил Удостоверение за липса на задължения към НАП.</w:t>
            </w:r>
          </w:p>
          <w:p w14:paraId="3249CAF3" w14:textId="497D0E10" w:rsidR="00091A0B" w:rsidRPr="006D1F73" w:rsidRDefault="0090536C" w:rsidP="0090536C">
            <w:pPr>
              <w:rPr>
                <w:b/>
                <w:lang w:val="bg-BG"/>
              </w:rPr>
            </w:pPr>
            <w:r w:rsidRPr="0090536C">
              <w:rPr>
                <w:b/>
                <w:lang w:val="bg-BG"/>
              </w:rPr>
              <w:t>Кандидатът не отговаря на условията за административна допустимост. ПИИ не отговаря на критерии за оценка на административното съответствие на предложенията за изпълнение на инвестиция по Критерии 12, 14, 16 от група I, Критерии 2, 3 и 7 от група IVот Приложение № 9 Критерии и методика за оценка на ПИИ към Условията за кандидатстване, поради което ПИИ не се допуска до етап ТФО.</w:t>
            </w:r>
          </w:p>
        </w:tc>
      </w:tr>
      <w:tr w:rsidR="00992D76" w:rsidRPr="006D1F73" w14:paraId="24FAF078" w14:textId="77777777" w:rsidTr="00313C43">
        <w:tc>
          <w:tcPr>
            <w:tcW w:w="678" w:type="dxa"/>
            <w:shd w:val="clear" w:color="auto" w:fill="auto"/>
          </w:tcPr>
          <w:p w14:paraId="793D31C4" w14:textId="0C935D09" w:rsidR="00992D76" w:rsidRPr="006D1F73" w:rsidRDefault="00E051AE" w:rsidP="00E76FC7">
            <w:pPr>
              <w:jc w:val="center"/>
              <w:rPr>
                <w:b/>
                <w:lang w:val="bg-BG"/>
              </w:rPr>
            </w:pPr>
            <w:r>
              <w:rPr>
                <w:b/>
                <w:lang w:val="bg-BG"/>
              </w:rPr>
              <w:t>3.</w:t>
            </w:r>
          </w:p>
        </w:tc>
        <w:tc>
          <w:tcPr>
            <w:tcW w:w="1596" w:type="dxa"/>
            <w:shd w:val="clear" w:color="auto" w:fill="auto"/>
          </w:tcPr>
          <w:p w14:paraId="3BAB139B" w14:textId="376E0C9F" w:rsidR="00992D76" w:rsidRPr="006D1F73" w:rsidRDefault="00E051AE" w:rsidP="00E76FC7">
            <w:pPr>
              <w:jc w:val="center"/>
              <w:rPr>
                <w:b/>
                <w:lang w:val="bg-BG"/>
              </w:rPr>
            </w:pPr>
            <w:r w:rsidRPr="00E051AE">
              <w:rPr>
                <w:b/>
                <w:lang w:val="bg-BG"/>
              </w:rPr>
              <w:t>BG-RRP-11.019-009</w:t>
            </w:r>
          </w:p>
        </w:tc>
        <w:tc>
          <w:tcPr>
            <w:tcW w:w="2512" w:type="dxa"/>
            <w:shd w:val="clear" w:color="auto" w:fill="auto"/>
          </w:tcPr>
          <w:p w14:paraId="2D1BEE43" w14:textId="74D4770E" w:rsidR="00992D76" w:rsidRPr="006D1F73" w:rsidRDefault="00E051AE" w:rsidP="00E76FC7">
            <w:pPr>
              <w:jc w:val="center"/>
              <w:rPr>
                <w:b/>
                <w:lang w:val="bg-BG"/>
              </w:rPr>
            </w:pPr>
            <w:r w:rsidRPr="00E051AE">
              <w:rPr>
                <w:b/>
                <w:lang w:val="bg-BG"/>
              </w:rPr>
              <w:t>СТЪПКИ В ПЯСЪКА ЕООД</w:t>
            </w:r>
          </w:p>
        </w:tc>
        <w:tc>
          <w:tcPr>
            <w:tcW w:w="2835" w:type="dxa"/>
            <w:shd w:val="clear" w:color="auto" w:fill="auto"/>
          </w:tcPr>
          <w:p w14:paraId="239048B9" w14:textId="2CCA0552" w:rsidR="00992D76" w:rsidRPr="006D1F73" w:rsidRDefault="002D2C79" w:rsidP="00E76FC7">
            <w:pPr>
              <w:jc w:val="center"/>
              <w:rPr>
                <w:b/>
                <w:lang w:val="bg-BG"/>
              </w:rPr>
            </w:pPr>
            <w:r w:rsidRPr="002D2C79">
              <w:rPr>
                <w:b/>
                <w:lang w:val="bg-BG"/>
              </w:rPr>
              <w:t>"Стъпки в пясъка" представя: Код 359 - Музикални пощенски картички</w:t>
            </w:r>
          </w:p>
        </w:tc>
        <w:tc>
          <w:tcPr>
            <w:tcW w:w="7089" w:type="dxa"/>
            <w:shd w:val="clear" w:color="auto" w:fill="auto"/>
          </w:tcPr>
          <w:p w14:paraId="7142A683" w14:textId="64E8148C" w:rsidR="00992D76" w:rsidRPr="006D1F73" w:rsidRDefault="0090536C" w:rsidP="00130EBA">
            <w:pPr>
              <w:rPr>
                <w:b/>
                <w:lang w:val="bg-BG"/>
              </w:rPr>
            </w:pPr>
            <w:r w:rsidRPr="0090536C">
              <w:rPr>
                <w:b/>
                <w:lang w:val="bg-BG"/>
              </w:rPr>
              <w:t>ПИИ е за създаване на три културни продукта, като създаването е недопустима дейност по процедура BG-RRP-11.019, която е с предвидена друга цел- представяне на завършени български продукции (или европейски копродукции с българско участие) в областта на изкуство в платформите на отворените пазари за изкуства в ЕС, на международни форуми, чуждестранни сцени, фестивали и събития, и насърчаване на международното разпространение на български художествени произведения и културни продукти. В този смисъл ПИИ BG-RRP-11.019-009 изначално не отговаря на целите на BG-RRP-11.019. Отделно от това кандидатът е оттеглил предложението си със заявление от 10.10.2024 г.</w:t>
            </w:r>
          </w:p>
        </w:tc>
      </w:tr>
    </w:tbl>
    <w:p w14:paraId="49E7EF41" w14:textId="77777777" w:rsidR="00D874BF" w:rsidRPr="006D1F73" w:rsidRDefault="00D874BF" w:rsidP="00A940B8">
      <w:pPr>
        <w:jc w:val="center"/>
        <w:rPr>
          <w:b/>
          <w:lang w:val="bg-BG"/>
        </w:rPr>
      </w:pPr>
    </w:p>
    <w:p w14:paraId="61D26B46" w14:textId="77777777" w:rsidR="003B5A55" w:rsidRDefault="00D874BF" w:rsidP="00252824">
      <w:pPr>
        <w:jc w:val="both"/>
        <w:rPr>
          <w:lang w:val="bg-BG"/>
        </w:rPr>
      </w:pPr>
      <w:r w:rsidRPr="006D1F73">
        <w:rPr>
          <w:b/>
          <w:lang w:val="bg-BG"/>
        </w:rPr>
        <w:t xml:space="preserve">ЗАБЕЛЕЖКА: </w:t>
      </w:r>
      <w:r w:rsidRPr="006D1F73">
        <w:rPr>
          <w:lang w:val="bg-BG"/>
        </w:rPr>
        <w:t>Кандидатите, чиито предложения</w:t>
      </w:r>
      <w:r w:rsidR="006475B5">
        <w:rPr>
          <w:lang w:val="bg-BG"/>
        </w:rPr>
        <w:t xml:space="preserve"> за изпълн</w:t>
      </w:r>
      <w:r w:rsidR="00AD1FBB">
        <w:rPr>
          <w:lang w:val="bg-BG"/>
        </w:rPr>
        <w:t>е</w:t>
      </w:r>
      <w:r w:rsidR="006475B5">
        <w:rPr>
          <w:lang w:val="bg-BG"/>
        </w:rPr>
        <w:t>ние на инвестиции</w:t>
      </w:r>
      <w:r w:rsidRPr="006D1F73">
        <w:rPr>
          <w:lang w:val="bg-BG"/>
        </w:rPr>
        <w:t xml:space="preserve"> са</w:t>
      </w:r>
      <w:r w:rsidR="00685D9D" w:rsidRPr="006D1F73">
        <w:rPr>
          <w:lang w:val="bg-BG"/>
        </w:rPr>
        <w:t xml:space="preserve"> предложени за</w:t>
      </w:r>
      <w:r w:rsidRPr="006D1F73">
        <w:rPr>
          <w:lang w:val="bg-BG"/>
        </w:rPr>
        <w:t xml:space="preserve"> </w:t>
      </w:r>
      <w:r w:rsidR="00685D9D" w:rsidRPr="006D1F73">
        <w:rPr>
          <w:lang w:val="bg-BG"/>
        </w:rPr>
        <w:t xml:space="preserve">отхвърляне </w:t>
      </w:r>
      <w:r w:rsidR="00252824" w:rsidRPr="006D1F73">
        <w:rPr>
          <w:lang w:val="bg-BG"/>
        </w:rPr>
        <w:t xml:space="preserve">на етап </w:t>
      </w:r>
      <w:r w:rsidR="00252824" w:rsidRPr="006D1F73">
        <w:rPr>
          <w:iCs/>
          <w:lang w:val="bg-BG"/>
        </w:rPr>
        <w:t xml:space="preserve">оценка на административното съответствие </w:t>
      </w:r>
      <w:r w:rsidR="00775769" w:rsidRPr="006D1F73">
        <w:rPr>
          <w:iCs/>
          <w:lang w:val="bg-BG"/>
        </w:rPr>
        <w:t xml:space="preserve">и допустимостта </w:t>
      </w:r>
      <w:r w:rsidR="00252824" w:rsidRPr="006D1F73">
        <w:rPr>
          <w:iCs/>
          <w:lang w:val="bg-BG"/>
        </w:rPr>
        <w:t>по горепосочената процедура</w:t>
      </w:r>
      <w:r w:rsidRPr="006D1F73">
        <w:rPr>
          <w:lang w:val="bg-BG"/>
        </w:rPr>
        <w:t xml:space="preserve"> могат да подадат писмени възражения срещу </w:t>
      </w:r>
      <w:r w:rsidR="00685D9D" w:rsidRPr="006D1F73">
        <w:rPr>
          <w:lang w:val="bg-BG"/>
        </w:rPr>
        <w:t>предложението за отхвърлянето им пред</w:t>
      </w:r>
      <w:r w:rsidR="00704F48" w:rsidRPr="006D1F73">
        <w:rPr>
          <w:lang w:val="bg-BG"/>
        </w:rPr>
        <w:t xml:space="preserve"> </w:t>
      </w:r>
      <w:r w:rsidRPr="006D1F73">
        <w:rPr>
          <w:lang w:val="bg-BG"/>
        </w:rPr>
        <w:t xml:space="preserve">ръководителя на </w:t>
      </w:r>
      <w:r w:rsidR="006475B5">
        <w:rPr>
          <w:lang w:val="bg-BG"/>
        </w:rPr>
        <w:t>Структурата за наблюдение и докладване</w:t>
      </w:r>
      <w:r w:rsidRPr="006D1F73">
        <w:rPr>
          <w:lang w:val="bg-BG"/>
        </w:rPr>
        <w:t xml:space="preserve"> в </w:t>
      </w:r>
      <w:r w:rsidR="005F44E0" w:rsidRPr="006D1F73">
        <w:rPr>
          <w:lang w:val="bg-BG"/>
        </w:rPr>
        <w:t xml:space="preserve">едноседмичен </w:t>
      </w:r>
      <w:r w:rsidRPr="006D1F73">
        <w:rPr>
          <w:lang w:val="bg-BG"/>
        </w:rPr>
        <w:t xml:space="preserve">срок </w:t>
      </w:r>
      <w:r w:rsidR="005F44E0" w:rsidRPr="006D1F73">
        <w:rPr>
          <w:lang w:val="bg-BG"/>
        </w:rPr>
        <w:t>от съобщаването.</w:t>
      </w:r>
      <w:r w:rsidR="00EB135C" w:rsidRPr="00273151">
        <w:rPr>
          <w:lang w:val="bg-BG"/>
        </w:rPr>
        <w:t xml:space="preserve"> </w:t>
      </w:r>
    </w:p>
    <w:p w14:paraId="794FB7E9" w14:textId="77777777" w:rsidR="0090536C" w:rsidRDefault="0090536C" w:rsidP="00252824">
      <w:pPr>
        <w:jc w:val="both"/>
        <w:rPr>
          <w:lang w:val="en-US"/>
        </w:rPr>
      </w:pPr>
    </w:p>
    <w:p w14:paraId="627946C4" w14:textId="08CDD9F6" w:rsidR="005622AF" w:rsidRPr="0090536C" w:rsidRDefault="005622AF" w:rsidP="00252824">
      <w:pPr>
        <w:jc w:val="both"/>
        <w:rPr>
          <w:lang w:val="en-US"/>
        </w:rPr>
      </w:pPr>
      <w:r w:rsidRPr="0090536C">
        <w:rPr>
          <w:lang w:val="bg-BG"/>
        </w:rPr>
        <w:t xml:space="preserve">Списъкът </w:t>
      </w:r>
      <w:r w:rsidRPr="0090536C">
        <w:rPr>
          <w:lang w:val="en-US"/>
        </w:rPr>
        <w:t>се публикува на интернет страницата на НФК и в информационната система за Механизма, а за недопускането се съобщава на кандидат</w:t>
      </w:r>
      <w:r w:rsidR="003C1E87" w:rsidRPr="0090536C">
        <w:rPr>
          <w:lang w:val="bg-BG"/>
        </w:rPr>
        <w:t>а</w:t>
      </w:r>
      <w:r w:rsidRPr="0090536C">
        <w:rPr>
          <w:lang w:val="en-US"/>
        </w:rPr>
        <w:t>, включен в списъка, по реда на чл. 61 от Административнопроцесуалния кодекс чрез изпращане на уведомление по образец. Уведомяването се извършва в деня на публикуване на списъка с проектните предложения чрез отправяне на писмено съобщение до кандидата изпратено чрез ИС за ПВУ. За дата на уведомяване на кандидата се счита датата на отправяне на съобщението. Кандидатите могат писмено да възразят пред ръководителя на НФК в едноседмичен срок от съобщаването.</w:t>
      </w:r>
    </w:p>
    <w:p w14:paraId="606A5463" w14:textId="77777777" w:rsidR="009A06E8" w:rsidRPr="005622AF" w:rsidRDefault="009A06E8" w:rsidP="00252824">
      <w:pPr>
        <w:jc w:val="both"/>
        <w:rPr>
          <w:color w:val="FF0000"/>
          <w:sz w:val="28"/>
          <w:szCs w:val="28"/>
          <w:lang w:val="bg-BG"/>
        </w:rPr>
      </w:pPr>
    </w:p>
    <w:sectPr w:rsidR="009A06E8" w:rsidRPr="005622AF" w:rsidSect="00C740F1">
      <w:headerReference w:type="default" r:id="rId7"/>
      <w:pgSz w:w="16838" w:h="11906" w:orient="landscape"/>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9B9F2" w14:textId="77777777" w:rsidR="006F063E" w:rsidRDefault="006F063E">
      <w:r>
        <w:separator/>
      </w:r>
    </w:p>
  </w:endnote>
  <w:endnote w:type="continuationSeparator" w:id="0">
    <w:p w14:paraId="008A3B0F" w14:textId="77777777" w:rsidR="006F063E" w:rsidRDefault="006F0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B7000" w14:textId="77777777" w:rsidR="006F063E" w:rsidRDefault="006F063E">
      <w:r>
        <w:separator/>
      </w:r>
    </w:p>
  </w:footnote>
  <w:footnote w:type="continuationSeparator" w:id="0">
    <w:p w14:paraId="77345468" w14:textId="77777777" w:rsidR="006F063E" w:rsidRDefault="006F0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BD6CD" w14:textId="77777777" w:rsidR="003F4A60" w:rsidRDefault="003F4A60" w:rsidP="00561E4F">
    <w:pPr>
      <w:pStyle w:val="a9"/>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57"/>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40F1"/>
    <w:rsid w:val="00002EA4"/>
    <w:rsid w:val="00011405"/>
    <w:rsid w:val="000129B7"/>
    <w:rsid w:val="00012FE9"/>
    <w:rsid w:val="000139BF"/>
    <w:rsid w:val="00016BE2"/>
    <w:rsid w:val="00025790"/>
    <w:rsid w:val="00026ADF"/>
    <w:rsid w:val="00056766"/>
    <w:rsid w:val="000608C3"/>
    <w:rsid w:val="000868A0"/>
    <w:rsid w:val="00086B72"/>
    <w:rsid w:val="00091A0B"/>
    <w:rsid w:val="00093853"/>
    <w:rsid w:val="000955C9"/>
    <w:rsid w:val="000B3CDA"/>
    <w:rsid w:val="000B46D8"/>
    <w:rsid w:val="000E4E70"/>
    <w:rsid w:val="000E5E0B"/>
    <w:rsid w:val="000F2441"/>
    <w:rsid w:val="00111412"/>
    <w:rsid w:val="001245DD"/>
    <w:rsid w:val="00130EBA"/>
    <w:rsid w:val="00131C1F"/>
    <w:rsid w:val="00143D3A"/>
    <w:rsid w:val="00144A1F"/>
    <w:rsid w:val="00173702"/>
    <w:rsid w:val="00191673"/>
    <w:rsid w:val="00193A7A"/>
    <w:rsid w:val="001C0B6A"/>
    <w:rsid w:val="001F0DA3"/>
    <w:rsid w:val="002210CD"/>
    <w:rsid w:val="0022230B"/>
    <w:rsid w:val="00252824"/>
    <w:rsid w:val="00273151"/>
    <w:rsid w:val="0028464A"/>
    <w:rsid w:val="00287596"/>
    <w:rsid w:val="0029223C"/>
    <w:rsid w:val="0029326B"/>
    <w:rsid w:val="00293424"/>
    <w:rsid w:val="002937D9"/>
    <w:rsid w:val="00293FEF"/>
    <w:rsid w:val="00296240"/>
    <w:rsid w:val="002B4654"/>
    <w:rsid w:val="002D157D"/>
    <w:rsid w:val="002D2C79"/>
    <w:rsid w:val="002D4742"/>
    <w:rsid w:val="002E27C7"/>
    <w:rsid w:val="002E29C1"/>
    <w:rsid w:val="002E4382"/>
    <w:rsid w:val="002F75E1"/>
    <w:rsid w:val="003078EC"/>
    <w:rsid w:val="00311A88"/>
    <w:rsid w:val="00313C43"/>
    <w:rsid w:val="00331586"/>
    <w:rsid w:val="003342B2"/>
    <w:rsid w:val="00335DE0"/>
    <w:rsid w:val="00364692"/>
    <w:rsid w:val="00365116"/>
    <w:rsid w:val="00376653"/>
    <w:rsid w:val="003B5A55"/>
    <w:rsid w:val="003C1E87"/>
    <w:rsid w:val="003C5B9A"/>
    <w:rsid w:val="003E0D49"/>
    <w:rsid w:val="003E2D2E"/>
    <w:rsid w:val="003F4A60"/>
    <w:rsid w:val="003F7B45"/>
    <w:rsid w:val="00411D7A"/>
    <w:rsid w:val="00444D18"/>
    <w:rsid w:val="0045692F"/>
    <w:rsid w:val="00462573"/>
    <w:rsid w:val="00492BA3"/>
    <w:rsid w:val="004953B3"/>
    <w:rsid w:val="004A41E4"/>
    <w:rsid w:val="004A4833"/>
    <w:rsid w:val="004A7303"/>
    <w:rsid w:val="004C5587"/>
    <w:rsid w:val="004C574A"/>
    <w:rsid w:val="004C5F7A"/>
    <w:rsid w:val="004E121F"/>
    <w:rsid w:val="004F42DA"/>
    <w:rsid w:val="004F5C87"/>
    <w:rsid w:val="00503F22"/>
    <w:rsid w:val="00510C29"/>
    <w:rsid w:val="005253D1"/>
    <w:rsid w:val="00537250"/>
    <w:rsid w:val="00545706"/>
    <w:rsid w:val="00561E4F"/>
    <w:rsid w:val="005622AF"/>
    <w:rsid w:val="00571C0C"/>
    <w:rsid w:val="00586F61"/>
    <w:rsid w:val="00592769"/>
    <w:rsid w:val="005A1DEE"/>
    <w:rsid w:val="005A6A46"/>
    <w:rsid w:val="005C6F96"/>
    <w:rsid w:val="005D0C34"/>
    <w:rsid w:val="005D29B2"/>
    <w:rsid w:val="005D311A"/>
    <w:rsid w:val="005D6211"/>
    <w:rsid w:val="005D7EDC"/>
    <w:rsid w:val="005E52BD"/>
    <w:rsid w:val="005F44E0"/>
    <w:rsid w:val="00611387"/>
    <w:rsid w:val="00614F78"/>
    <w:rsid w:val="006307A7"/>
    <w:rsid w:val="006439D5"/>
    <w:rsid w:val="006475B5"/>
    <w:rsid w:val="00682865"/>
    <w:rsid w:val="00685D9D"/>
    <w:rsid w:val="0068644F"/>
    <w:rsid w:val="00696053"/>
    <w:rsid w:val="006A08D9"/>
    <w:rsid w:val="006A479B"/>
    <w:rsid w:val="006D1F73"/>
    <w:rsid w:val="006F063E"/>
    <w:rsid w:val="00704F48"/>
    <w:rsid w:val="0071717D"/>
    <w:rsid w:val="007270A1"/>
    <w:rsid w:val="007315F2"/>
    <w:rsid w:val="00740B6C"/>
    <w:rsid w:val="007419ED"/>
    <w:rsid w:val="00775769"/>
    <w:rsid w:val="00794A3E"/>
    <w:rsid w:val="007A1130"/>
    <w:rsid w:val="007A1946"/>
    <w:rsid w:val="007D2032"/>
    <w:rsid w:val="007F15B3"/>
    <w:rsid w:val="00803FA8"/>
    <w:rsid w:val="00833EE4"/>
    <w:rsid w:val="008445E2"/>
    <w:rsid w:val="00846648"/>
    <w:rsid w:val="00861D8E"/>
    <w:rsid w:val="00882373"/>
    <w:rsid w:val="00886106"/>
    <w:rsid w:val="0088738B"/>
    <w:rsid w:val="0089034E"/>
    <w:rsid w:val="008A4C09"/>
    <w:rsid w:val="008B15BD"/>
    <w:rsid w:val="008D0692"/>
    <w:rsid w:val="008E150A"/>
    <w:rsid w:val="008E1661"/>
    <w:rsid w:val="008E17F5"/>
    <w:rsid w:val="0090223F"/>
    <w:rsid w:val="0090536C"/>
    <w:rsid w:val="00932C29"/>
    <w:rsid w:val="00940322"/>
    <w:rsid w:val="00960B4D"/>
    <w:rsid w:val="00963DF6"/>
    <w:rsid w:val="00970769"/>
    <w:rsid w:val="00980B41"/>
    <w:rsid w:val="00980EC5"/>
    <w:rsid w:val="00982377"/>
    <w:rsid w:val="00986B01"/>
    <w:rsid w:val="00987F4F"/>
    <w:rsid w:val="00992D76"/>
    <w:rsid w:val="009A06E8"/>
    <w:rsid w:val="009A530C"/>
    <w:rsid w:val="009A53BA"/>
    <w:rsid w:val="009B1D90"/>
    <w:rsid w:val="009B26E1"/>
    <w:rsid w:val="009B334E"/>
    <w:rsid w:val="009C44D4"/>
    <w:rsid w:val="009D5B0E"/>
    <w:rsid w:val="009D6C87"/>
    <w:rsid w:val="009D7E36"/>
    <w:rsid w:val="009E4C13"/>
    <w:rsid w:val="00A0302D"/>
    <w:rsid w:val="00A15B65"/>
    <w:rsid w:val="00A25AE5"/>
    <w:rsid w:val="00A3081C"/>
    <w:rsid w:val="00A33334"/>
    <w:rsid w:val="00A339F3"/>
    <w:rsid w:val="00A40AC5"/>
    <w:rsid w:val="00A44549"/>
    <w:rsid w:val="00A70381"/>
    <w:rsid w:val="00A70F60"/>
    <w:rsid w:val="00A71FEA"/>
    <w:rsid w:val="00A80ED9"/>
    <w:rsid w:val="00A86470"/>
    <w:rsid w:val="00A940B8"/>
    <w:rsid w:val="00AA0DE1"/>
    <w:rsid w:val="00AC2ACC"/>
    <w:rsid w:val="00AC460E"/>
    <w:rsid w:val="00AD087F"/>
    <w:rsid w:val="00AD1FBB"/>
    <w:rsid w:val="00B03339"/>
    <w:rsid w:val="00B038A3"/>
    <w:rsid w:val="00B208BE"/>
    <w:rsid w:val="00B31E34"/>
    <w:rsid w:val="00B4065B"/>
    <w:rsid w:val="00B43EF2"/>
    <w:rsid w:val="00B44618"/>
    <w:rsid w:val="00B45BDD"/>
    <w:rsid w:val="00B46484"/>
    <w:rsid w:val="00B5142E"/>
    <w:rsid w:val="00B55A25"/>
    <w:rsid w:val="00B6041D"/>
    <w:rsid w:val="00B65AF1"/>
    <w:rsid w:val="00B97403"/>
    <w:rsid w:val="00BB2C87"/>
    <w:rsid w:val="00BD146C"/>
    <w:rsid w:val="00BE3CC1"/>
    <w:rsid w:val="00BE59C5"/>
    <w:rsid w:val="00C01C1D"/>
    <w:rsid w:val="00C037ED"/>
    <w:rsid w:val="00C507D6"/>
    <w:rsid w:val="00C548C9"/>
    <w:rsid w:val="00C565C8"/>
    <w:rsid w:val="00C63538"/>
    <w:rsid w:val="00C674EA"/>
    <w:rsid w:val="00C72F93"/>
    <w:rsid w:val="00C740F1"/>
    <w:rsid w:val="00C8647E"/>
    <w:rsid w:val="00CA24D0"/>
    <w:rsid w:val="00CB0B43"/>
    <w:rsid w:val="00CC762D"/>
    <w:rsid w:val="00CD5FF4"/>
    <w:rsid w:val="00CF7E34"/>
    <w:rsid w:val="00D215E9"/>
    <w:rsid w:val="00D26D82"/>
    <w:rsid w:val="00D34D64"/>
    <w:rsid w:val="00D4220F"/>
    <w:rsid w:val="00D512C2"/>
    <w:rsid w:val="00D51AF5"/>
    <w:rsid w:val="00D51D24"/>
    <w:rsid w:val="00D73123"/>
    <w:rsid w:val="00D874BF"/>
    <w:rsid w:val="00DC2D08"/>
    <w:rsid w:val="00DE7B09"/>
    <w:rsid w:val="00DF3F5A"/>
    <w:rsid w:val="00E051AE"/>
    <w:rsid w:val="00E278D2"/>
    <w:rsid w:val="00E317F5"/>
    <w:rsid w:val="00E37423"/>
    <w:rsid w:val="00E639FE"/>
    <w:rsid w:val="00E76FC7"/>
    <w:rsid w:val="00E97664"/>
    <w:rsid w:val="00EA04AD"/>
    <w:rsid w:val="00EB135C"/>
    <w:rsid w:val="00EB286A"/>
    <w:rsid w:val="00EB3A0A"/>
    <w:rsid w:val="00EC46AC"/>
    <w:rsid w:val="00ED1DFB"/>
    <w:rsid w:val="00F03EDF"/>
    <w:rsid w:val="00F1198E"/>
    <w:rsid w:val="00F213BB"/>
    <w:rsid w:val="00F35C8D"/>
    <w:rsid w:val="00F55D58"/>
    <w:rsid w:val="00F609C8"/>
    <w:rsid w:val="00F62177"/>
    <w:rsid w:val="00F74E4D"/>
    <w:rsid w:val="00F95F33"/>
    <w:rsid w:val="00FA66FF"/>
    <w:rsid w:val="00FA70DD"/>
    <w:rsid w:val="00FB0240"/>
    <w:rsid w:val="00FB10E4"/>
    <w:rsid w:val="00FC20F7"/>
    <w:rsid w:val="00FC3FB3"/>
    <w:rsid w:val="00FD3D91"/>
    <w:rsid w:val="00FE2206"/>
    <w:rsid w:val="00FE5779"/>
    <w:rsid w:val="00FE7D2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04B1EA"/>
  <w15:chartTrackingRefBased/>
  <w15:docId w15:val="{C762D20B-D3C8-412D-930C-67499260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6A46"/>
    <w:rPr>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CharCharCharCharCharCharCharCharCharCharCharCharCharCharChar">
    <w:name w:val="Char Char1 Char Char Char Char Char Char Char Char Char Char Char Char Char Char Char Char"/>
    <w:basedOn w:val="a"/>
    <w:rsid w:val="005A6A46"/>
    <w:pPr>
      <w:tabs>
        <w:tab w:val="left" w:pos="709"/>
      </w:tabs>
      <w:spacing w:before="120" w:after="120"/>
      <w:ind w:left="360"/>
      <w:jc w:val="center"/>
    </w:pPr>
    <w:rPr>
      <w:rFonts w:ascii="Tahoma" w:hAnsi="Tahoma"/>
      <w:b/>
      <w:bCs/>
      <w:szCs w:val="28"/>
      <w:lang w:val="pl-PL" w:eastAsia="pl-PL"/>
    </w:rPr>
  </w:style>
  <w:style w:type="paragraph" w:customStyle="1" w:styleId="TableContents">
    <w:name w:val="Table Contents"/>
    <w:basedOn w:val="a3"/>
    <w:rsid w:val="005A6A46"/>
    <w:pPr>
      <w:widowControl w:val="0"/>
      <w:suppressLineNumbers/>
      <w:suppressAutoHyphens/>
      <w:spacing w:before="100" w:beforeAutospacing="1" w:after="100" w:afterAutospacing="1"/>
    </w:pPr>
    <w:rPr>
      <w:rFonts w:eastAsia="HG Mincho Light J"/>
      <w:color w:val="000000"/>
      <w:lang w:val="en-US" w:eastAsia="bg-BG"/>
    </w:rPr>
  </w:style>
  <w:style w:type="paragraph" w:customStyle="1" w:styleId="Index">
    <w:name w:val="Index"/>
    <w:basedOn w:val="a"/>
    <w:rsid w:val="005A6A46"/>
    <w:pPr>
      <w:widowControl w:val="0"/>
      <w:suppressLineNumbers/>
      <w:suppressAutoHyphens/>
      <w:spacing w:before="100" w:beforeAutospacing="1" w:after="100" w:afterAutospacing="1"/>
    </w:pPr>
    <w:rPr>
      <w:rFonts w:eastAsia="HG Mincho Light J"/>
      <w:color w:val="000000"/>
      <w:lang w:val="en-US" w:eastAsia="bg-BG"/>
    </w:rPr>
  </w:style>
  <w:style w:type="paragraph" w:styleId="a3">
    <w:name w:val="Body Text"/>
    <w:basedOn w:val="a"/>
    <w:rsid w:val="005A6A46"/>
    <w:pPr>
      <w:spacing w:after="120"/>
    </w:pPr>
  </w:style>
  <w:style w:type="paragraph" w:styleId="a4">
    <w:name w:val="Balloon Text"/>
    <w:basedOn w:val="a"/>
    <w:semiHidden/>
    <w:rsid w:val="00A940B8"/>
    <w:rPr>
      <w:rFonts w:ascii="Tahoma" w:hAnsi="Tahoma" w:cs="Tahoma"/>
      <w:sz w:val="16"/>
      <w:szCs w:val="16"/>
    </w:rPr>
  </w:style>
  <w:style w:type="table" w:styleId="a5">
    <w:name w:val="Table Grid"/>
    <w:basedOn w:val="a1"/>
    <w:rsid w:val="00091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4C574A"/>
    <w:rPr>
      <w:sz w:val="16"/>
      <w:szCs w:val="16"/>
    </w:rPr>
  </w:style>
  <w:style w:type="paragraph" w:styleId="a7">
    <w:name w:val="annotation text"/>
    <w:basedOn w:val="a"/>
    <w:semiHidden/>
    <w:rsid w:val="004C574A"/>
    <w:rPr>
      <w:sz w:val="20"/>
      <w:szCs w:val="20"/>
    </w:rPr>
  </w:style>
  <w:style w:type="paragraph" w:styleId="a8">
    <w:name w:val="annotation subject"/>
    <w:basedOn w:val="a7"/>
    <w:next w:val="a7"/>
    <w:semiHidden/>
    <w:rsid w:val="004C574A"/>
    <w:rPr>
      <w:b/>
      <w:bCs/>
    </w:rPr>
  </w:style>
  <w:style w:type="paragraph" w:styleId="a9">
    <w:name w:val="header"/>
    <w:basedOn w:val="a"/>
    <w:rsid w:val="00561E4F"/>
    <w:pPr>
      <w:tabs>
        <w:tab w:val="center" w:pos="4536"/>
        <w:tab w:val="right" w:pos="9072"/>
      </w:tabs>
    </w:pPr>
  </w:style>
  <w:style w:type="paragraph" w:styleId="aa">
    <w:name w:val="footer"/>
    <w:basedOn w:val="a"/>
    <w:rsid w:val="00561E4F"/>
    <w:pPr>
      <w:tabs>
        <w:tab w:val="center" w:pos="4536"/>
        <w:tab w:val="right" w:pos="9072"/>
      </w:tabs>
    </w:pPr>
  </w:style>
  <w:style w:type="character" w:styleId="ab">
    <w:name w:val="page number"/>
    <w:basedOn w:val="a0"/>
    <w:rsid w:val="00561E4F"/>
  </w:style>
  <w:style w:type="paragraph" w:customStyle="1" w:styleId="Char">
    <w:name w:val="Char"/>
    <w:basedOn w:val="a"/>
    <w:rsid w:val="00561E4F"/>
    <w:pPr>
      <w:tabs>
        <w:tab w:val="left" w:pos="709"/>
      </w:tabs>
    </w:pPr>
    <w:rPr>
      <w:rFonts w:ascii="Tahoma" w:hAnsi="Tahoma"/>
      <w:lang w:val="pl-PL" w:eastAsia="pl-PL"/>
    </w:rPr>
  </w:style>
  <w:style w:type="paragraph" w:styleId="ac">
    <w:name w:val="Revision"/>
    <w:hidden/>
    <w:uiPriority w:val="99"/>
    <w:semiHidden/>
    <w:rsid w:val="00DE7B09"/>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15671">
      <w:bodyDiv w:val="1"/>
      <w:marLeft w:val="0"/>
      <w:marRight w:val="0"/>
      <w:marTop w:val="0"/>
      <w:marBottom w:val="0"/>
      <w:divBdr>
        <w:top w:val="none" w:sz="0" w:space="0" w:color="auto"/>
        <w:left w:val="none" w:sz="0" w:space="0" w:color="auto"/>
        <w:bottom w:val="none" w:sz="0" w:space="0" w:color="auto"/>
        <w:right w:val="none" w:sz="0" w:space="0" w:color="auto"/>
      </w:divBdr>
    </w:div>
    <w:div w:id="68540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2F77F-8899-4EFB-845B-4BFD97763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1614</Words>
  <Characters>9204</Characters>
  <Application>Microsoft Office Word</Application>
  <DocSecurity>0</DocSecurity>
  <Lines>76</Lines>
  <Paragraphs>21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MEE</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cp:lastModifiedBy>user</cp:lastModifiedBy>
  <cp:revision>25</cp:revision>
  <cp:lastPrinted>2013-01-29T12:40:00Z</cp:lastPrinted>
  <dcterms:created xsi:type="dcterms:W3CDTF">2023-05-15T07:48:00Z</dcterms:created>
  <dcterms:modified xsi:type="dcterms:W3CDTF">2025-02-10T07:16:00Z</dcterms:modified>
</cp:coreProperties>
</file>